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MATERIA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ŁY DO ZGŁOSZENIA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40"/>
          <w:shd w:fill="auto" w:val="clear"/>
        </w:rPr>
        <w:t xml:space="preserve">Przebudowa  drogi dojazdowej do gruntów rolnych  w Teofilowie    od km 0 + 000,00</w:t>
        <w:tab/>
        <w:t xml:space="preserve">do km 0 + 350,00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u w:val="single"/>
          <w:shd w:fill="auto" w:val="clear"/>
        </w:rPr>
        <w:t xml:space="preserve">INWESTOR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:</w:t>
        <w:tab/>
        <w:tab/>
        <w:t xml:space="preserve">Gmina Tar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łów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                          </w:t>
        <w:tab/>
        <w:t xml:space="preserve">                                           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JEDNOSTKA PROJEKTUJ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ĄCA: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5664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Tadeusz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Żak</w:t>
      </w:r>
    </w:p>
    <w:p>
      <w:pPr>
        <w:spacing w:before="0" w:after="0" w:line="240"/>
        <w:ind w:right="0" w:left="5664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ul. Sienkiewicza 231 b</w:t>
      </w:r>
    </w:p>
    <w:p>
      <w:pPr>
        <w:spacing w:before="0" w:after="0" w:line="240"/>
        <w:ind w:right="0" w:left="5664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39-400 Tarnobrzeg</w:t>
      </w:r>
    </w:p>
    <w:p>
      <w:pPr>
        <w:spacing w:before="0" w:after="0" w:line="240"/>
        <w:ind w:right="0" w:left="708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u w:val="single"/>
          <w:shd w:fill="auto" w:val="clear"/>
        </w:rPr>
        <w:t xml:space="preserve">Projektant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tbl>
      <w:tblPr/>
      <w:tblGrid>
        <w:gridCol w:w="550"/>
        <w:gridCol w:w="2536"/>
        <w:gridCol w:w="1421"/>
        <w:gridCol w:w="1137"/>
        <w:gridCol w:w="1671"/>
        <w:gridCol w:w="1084"/>
        <w:gridCol w:w="889"/>
      </w:tblGrid>
      <w:tr>
        <w:trPr>
          <w:trHeight w:val="1" w:hRule="atLeast"/>
          <w:jc w:val="left"/>
        </w:trPr>
        <w:tc>
          <w:tcPr>
            <w:tcW w:w="5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Lp.</w:t>
            </w:r>
          </w:p>
        </w:tc>
        <w:tc>
          <w:tcPr>
            <w:tcW w:w="253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Imi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ę i nazwisko</w:t>
            </w:r>
          </w:p>
        </w:tc>
        <w:tc>
          <w:tcPr>
            <w:tcW w:w="142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Funkcja</w:t>
            </w:r>
          </w:p>
        </w:tc>
        <w:tc>
          <w:tcPr>
            <w:tcW w:w="113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Bran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ża</w:t>
            </w:r>
          </w:p>
        </w:tc>
        <w:tc>
          <w:tcPr>
            <w:tcW w:w="167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Nr uprawnie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ń</w:t>
            </w:r>
          </w:p>
        </w:tc>
        <w:tc>
          <w:tcPr>
            <w:tcW w:w="108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Data</w:t>
            </w:r>
          </w:p>
        </w:tc>
        <w:tc>
          <w:tcPr>
            <w:tcW w:w="88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Podpis</w:t>
            </w:r>
          </w:p>
        </w:tc>
      </w:tr>
      <w:tr>
        <w:trPr>
          <w:trHeight w:val="760" w:hRule="auto"/>
          <w:jc w:val="left"/>
        </w:trPr>
        <w:tc>
          <w:tcPr>
            <w:tcW w:w="5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3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Tadeusz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Żak</w:t>
            </w:r>
          </w:p>
        </w:tc>
        <w:tc>
          <w:tcPr>
            <w:tcW w:w="142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Projektant</w:t>
            </w:r>
          </w:p>
        </w:tc>
        <w:tc>
          <w:tcPr>
            <w:tcW w:w="113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drogowa</w:t>
            </w:r>
          </w:p>
        </w:tc>
        <w:tc>
          <w:tcPr>
            <w:tcW w:w="167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167A/TBG/93</w:t>
            </w:r>
          </w:p>
        </w:tc>
        <w:tc>
          <w:tcPr>
            <w:tcW w:w="108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12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07.2017</w:t>
            </w:r>
          </w:p>
        </w:tc>
        <w:tc>
          <w:tcPr>
            <w:tcW w:w="88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20" w:hRule="auto"/>
          <w:jc w:val="left"/>
        </w:trPr>
        <w:tc>
          <w:tcPr>
            <w:tcW w:w="5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36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3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71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89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2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Lipiec  2017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SPIS ZAWARTO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0"/>
          <w:shd w:fill="auto" w:val="clear"/>
        </w:rPr>
        <w:t xml:space="preserve">ŚCI: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p>
      <w:pPr>
        <w:numPr>
          <w:ilvl w:val="0"/>
          <w:numId w:val="26"/>
        </w:numPr>
        <w:spacing w:before="0" w:after="0" w:line="240"/>
        <w:ind w:right="0" w:left="283" w:hanging="283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ĘŚĆ OPISOWA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numPr>
          <w:ilvl w:val="0"/>
          <w:numId w:val="29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Wypis z ewidencji gruntów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numPr>
          <w:ilvl w:val="0"/>
          <w:numId w:val="31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Opis techniczny.     </w:t>
      </w:r>
    </w:p>
    <w:p>
      <w:pPr>
        <w:spacing w:before="0" w:after="0" w:line="240"/>
        <w:ind w:right="0" w:left="28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3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Informacja BIOZ</w:t>
      </w:r>
    </w:p>
    <w:p>
      <w:pPr>
        <w:spacing w:before="0" w:after="0" w:line="240"/>
        <w:ind w:right="0" w:left="28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5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Przedmiar robót.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37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CZ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ĘŚĆ RYSUNKOWA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</w:p>
    <w:p>
      <w:pPr>
        <w:numPr>
          <w:ilvl w:val="0"/>
          <w:numId w:val="39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Plan Orientacyjny</w:t>
        <w:tab/>
        <w:tab/>
        <w:tab/>
        <w:t xml:space="preserve">                     </w:t>
        <w:tab/>
        <w:t xml:space="preserve">   -</w:t>
        <w:tab/>
        <w:t xml:space="preserve">Rys. Nr 1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</w:r>
    </w:p>
    <w:p>
      <w:pPr>
        <w:numPr>
          <w:ilvl w:val="0"/>
          <w:numId w:val="41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Plan sytuacyjny  </w:t>
        <w:tab/>
        <w:t xml:space="preserve">                </w:t>
        <w:tab/>
        <w:t xml:space="preserve">                               -</w:t>
        <w:tab/>
        <w:t xml:space="preserve">Rys. Nr 2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44"/>
        </w:numPr>
        <w:spacing w:before="0" w:after="0" w:line="240"/>
        <w:ind w:right="0" w:left="283" w:hanging="28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Przekrój konstrukcyjny w skali 1: 50</w:t>
        <w:tab/>
        <w:t xml:space="preserve">                     -</w:t>
        <w:tab/>
        <w:t xml:space="preserve">Rys. Nr 3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283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br/>
        <w:br/>
        <w:br/>
        <w:br/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OPIS TECHNICZNY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50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Podstawa opracowania: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52"/>
        </w:numPr>
        <w:tabs>
          <w:tab w:val="left" w:pos="1854" w:leader="none"/>
        </w:tabs>
        <w:spacing w:before="0" w:after="0" w:line="240"/>
        <w:ind w:right="0" w:left="185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Umowa z Gmin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 Tarłów</w:t>
      </w:r>
    </w:p>
    <w:p>
      <w:pPr>
        <w:numPr>
          <w:ilvl w:val="0"/>
          <w:numId w:val="52"/>
        </w:numPr>
        <w:tabs>
          <w:tab w:val="left" w:pos="1854" w:leader="none"/>
        </w:tabs>
        <w:spacing w:before="0" w:after="0" w:line="240"/>
        <w:ind w:right="0" w:left="185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mapa  ewidencyjna 1 : 5000 </w:t>
      </w:r>
    </w:p>
    <w:p>
      <w:pPr>
        <w:numPr>
          <w:ilvl w:val="0"/>
          <w:numId w:val="52"/>
        </w:numPr>
        <w:tabs>
          <w:tab w:val="left" w:pos="1854" w:leader="none"/>
        </w:tabs>
        <w:spacing w:before="0" w:after="0" w:line="240"/>
        <w:ind w:right="0" w:left="185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Rozporz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ądzenie Ministra Infrastruktury z dnia 3 lipca 2003 roku w sprawie szczegółowego zakresu i formy projektu budowlanego (Dz. U. Nr 120, poz. 1133);</w:t>
      </w:r>
    </w:p>
    <w:p>
      <w:pPr>
        <w:numPr>
          <w:ilvl w:val="0"/>
          <w:numId w:val="52"/>
        </w:numPr>
        <w:tabs>
          <w:tab w:val="left" w:pos="1854" w:leader="none"/>
        </w:tabs>
        <w:spacing w:before="0" w:after="0" w:line="240"/>
        <w:ind w:right="0" w:left="185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Rozporz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ądzenie Ministra Infrastruktury z dnia 2 września 2004 roku w sprawie szczegółowego zakresu i formy dokumentacji projektowej, specyfikacji technicznych wykonania i odbioru robót budowlanych oraz programu funkcjonalno-użytkowego (Dz. U. Nr 202 z dnia 16.09.2004 roku, pozycja 2072);</w:t>
      </w:r>
    </w:p>
    <w:p>
      <w:pPr>
        <w:numPr>
          <w:ilvl w:val="0"/>
          <w:numId w:val="52"/>
        </w:numPr>
        <w:tabs>
          <w:tab w:val="left" w:pos="1854" w:leader="none"/>
        </w:tabs>
        <w:spacing w:before="0" w:after="0" w:line="240"/>
        <w:ind w:right="0" w:left="185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Rozporz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ądzenie Ministra Transportu i Gospodarki Morskiej z dnia 2 marca 1999 roku w sprawie warunków technicznych, jakim powinny odpowiadać drogi publiczne i ich usytuowanie (Dz. U. Nr 43, poz. 430);</w:t>
      </w:r>
    </w:p>
    <w:p>
      <w:pPr>
        <w:numPr>
          <w:ilvl w:val="0"/>
          <w:numId w:val="52"/>
        </w:numPr>
        <w:tabs>
          <w:tab w:val="left" w:pos="1854" w:leader="none"/>
        </w:tabs>
        <w:spacing w:before="0" w:after="0" w:line="240"/>
        <w:ind w:right="0" w:left="185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Inne Ustawy, Normy i Normatywy 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ązane z projektowaną inwestycją;</w:t>
      </w:r>
    </w:p>
    <w:p>
      <w:pPr>
        <w:numPr>
          <w:ilvl w:val="0"/>
          <w:numId w:val="52"/>
        </w:numPr>
        <w:tabs>
          <w:tab w:val="left" w:pos="1854" w:leader="none"/>
        </w:tabs>
        <w:spacing w:before="0" w:after="0" w:line="240"/>
        <w:ind w:right="0" w:left="185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Wizja w terenie.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54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Cel opracowania, lokalizacja i zakres opracowania: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Celem opracowania jest projekt przebudowy drogi dojazdowej do gruntów rolnych  w Teofilowie    od km 0 + 000,00</w:t>
        <w:tab/>
        <w:t xml:space="preserve">do km 0 + 350,00.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Droga bierze swój pocz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ątek od drogi gminnej betonowej Teofilów – Gliniany.  Działki na której zlokalizowana jest droga jest w całości w granicach własności inwestora:</w:t>
      </w: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</w:p>
    <w:tbl>
      <w:tblPr>
        <w:tblInd w:w="55" w:type="dxa"/>
      </w:tblPr>
      <w:tblGrid>
        <w:gridCol w:w="585"/>
        <w:gridCol w:w="1530"/>
        <w:gridCol w:w="2703"/>
        <w:gridCol w:w="1606"/>
        <w:gridCol w:w="1606"/>
        <w:gridCol w:w="1893"/>
      </w:tblGrid>
      <w:tr>
        <w:trPr>
          <w:trHeight w:val="1" w:hRule="atLeast"/>
          <w:jc w:val="left"/>
        </w:trPr>
        <w:tc>
          <w:tcPr>
            <w:tcW w:w="585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Lp.</w:t>
            </w:r>
          </w:p>
        </w:tc>
        <w:tc>
          <w:tcPr>
            <w:tcW w:w="1530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Nr ewid.</w:t>
            </w:r>
          </w:p>
        </w:tc>
        <w:tc>
          <w:tcPr>
            <w:tcW w:w="2703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W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łaściciel</w:t>
            </w:r>
          </w:p>
        </w:tc>
        <w:tc>
          <w:tcPr>
            <w:tcW w:w="1606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Powiat</w:t>
            </w:r>
          </w:p>
        </w:tc>
        <w:tc>
          <w:tcPr>
            <w:tcW w:w="1606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Jednostka ewid.</w:t>
            </w:r>
          </w:p>
        </w:tc>
        <w:tc>
          <w:tcPr>
            <w:tcW w:w="1893" w:type="dxa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Obr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ęb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585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</w:p>
        </w:tc>
        <w:tc>
          <w:tcPr>
            <w:tcW w:w="15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3" w:type="dxa"/>
            <w:vMerge w:val="restart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Skarb Pa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ństwa</w:t>
            </w: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Gmina Tar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łów</w:t>
            </w:r>
          </w:p>
        </w:tc>
        <w:tc>
          <w:tcPr>
            <w:tcW w:w="1606" w:type="dxa"/>
            <w:vMerge w:val="restart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opatowski</w:t>
            </w:r>
          </w:p>
        </w:tc>
        <w:tc>
          <w:tcPr>
            <w:tcW w:w="1606" w:type="dxa"/>
            <w:vMerge w:val="restart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260607_2 Tar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łów</w:t>
            </w:r>
          </w:p>
        </w:tc>
        <w:tc>
          <w:tcPr>
            <w:tcW w:w="1893" w:type="dxa"/>
            <w:vMerge w:val="restart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1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Teofilów</w:t>
            </w:r>
          </w:p>
        </w:tc>
      </w:tr>
      <w:tr>
        <w:trPr>
          <w:trHeight w:val="1" w:hRule="atLeast"/>
          <w:jc w:val="left"/>
          <w:cantSplit w:val="1"/>
        </w:trPr>
        <w:tc>
          <w:tcPr>
            <w:tcW w:w="585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0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1014</w:t>
            </w:r>
          </w:p>
        </w:tc>
        <w:tc>
          <w:tcPr>
            <w:tcW w:w="2703" w:type="dxa"/>
            <w:vMerge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6" w:type="dxa"/>
            <w:vMerge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6" w:type="dxa"/>
            <w:vMerge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3" w:type="dxa"/>
            <w:vMerge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1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  <w:cantSplit w:val="1"/>
        </w:trPr>
        <w:tc>
          <w:tcPr>
            <w:tcW w:w="585" w:type="dxa"/>
            <w:tcBorders>
              <w:top w:val="single" w:color="000000" w:sz="0"/>
              <w:left w:val="single" w:color="000000" w:sz="1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0" w:type="dxa"/>
            <w:tcBorders>
              <w:top w:val="single" w:color="000000" w:sz="0"/>
              <w:left w:val="single" w:color="000000" w:sz="1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3" w:type="dxa"/>
            <w:vMerge/>
            <w:tcBorders>
              <w:top w:val="single" w:color="000000" w:sz="0"/>
              <w:left w:val="single" w:color="000000" w:sz="1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6" w:type="dxa"/>
            <w:vMerge/>
            <w:tcBorders>
              <w:top w:val="single" w:color="000000" w:sz="0"/>
              <w:left w:val="single" w:color="000000" w:sz="1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6" w:type="dxa"/>
            <w:vMerge/>
            <w:tcBorders>
              <w:top w:val="single" w:color="000000" w:sz="0"/>
              <w:left w:val="single" w:color="000000" w:sz="1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3" w:type="dxa"/>
            <w:vMerge/>
            <w:tcBorders>
              <w:top w:val="single" w:color="000000" w:sz="0"/>
              <w:left w:val="single" w:color="000000" w:sz="1"/>
              <w:bottom w:val="single" w:color="000000" w:sz="0"/>
              <w:right w:val="single" w:color="000000" w:sz="1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5" w:type="dxa"/>
            <w:tcBorders>
              <w:top w:val="single" w:color="000000" w:sz="4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0" w:type="dxa"/>
            <w:tcBorders>
              <w:top w:val="single" w:color="000000" w:sz="4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center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03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6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06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0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3" w:type="dxa"/>
            <w:tcBorders>
              <w:top w:val="single" w:color="000000" w:sz="0"/>
              <w:left w:val="single" w:color="000000" w:sz="1"/>
              <w:bottom w:val="single" w:color="000000" w:sz="1"/>
              <w:right w:val="single" w:color="000000" w:sz="1"/>
            </w:tcBorders>
            <w:shd w:color="000000" w:fill="ffffff" w:val="clear"/>
            <w:tcMar>
              <w:left w:w="54" w:type="dxa"/>
              <w:right w:w="54" w:type="dxa"/>
            </w:tcMar>
            <w:vAlign w:val="top"/>
          </w:tcPr>
          <w:p>
            <w:pPr>
              <w:suppressLineNumbers w:val="true"/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708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br/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Jest to inwestycja o charakterze liniowym,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łączna długość przebudowywanego odcinka to 350,0 mb.</w:t>
      </w: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  <w:t xml:space="preserve">W zakres opracowania wchodzi: przebudowa  podbudowy drogi oraz wykonanie nawierzchni bitumicznej   i   przebudowa poboczy.</w:t>
      </w:r>
    </w:p>
    <w:p>
      <w:pPr>
        <w:spacing w:before="0" w:after="0" w:line="240"/>
        <w:ind w:right="0" w:left="144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44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44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85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Stan istniej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ący: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Droga jest w zarz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ądzaniu Wójta Gminy Tarłów, o nawierzchni tłuczniowej – niewielkie utwardzenie tłuczniem kamiennym .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Szeroko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ść jezdni około 3,0 m w złym stanie technicznym. </w:t>
      </w:r>
    </w:p>
    <w:p>
      <w:pPr>
        <w:spacing w:before="0" w:after="0" w:line="240"/>
        <w:ind w:right="0" w:left="79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Zainwestowanie terenu w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ąsiedztwie inwestycji: początkowy odcinek przebiega w terenie zalesionym , a w końcowym  odcinku znajduje się zabudowa jednorodzinna , a dalej  pola uprawne. Konfiguracja terenu:  teren  płaski z niewielkimi spadkami drogi do przebudowy.</w:t>
      </w:r>
    </w:p>
    <w:p>
      <w:pPr>
        <w:spacing w:before="0" w:after="0" w:line="240"/>
        <w:ind w:right="0" w:left="79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9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89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Stan projektowany.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4.1. Dane techniczne: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</w:t>
        <w:tab/>
        <w:tab/>
      </w:r>
    </w:p>
    <w:p>
      <w:pPr>
        <w:spacing w:before="240" w:after="0" w:line="240"/>
        <w:ind w:right="0" w:left="1068" w:firstLine="34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Klasa drogi</w:t>
        <w:tab/>
        <w:tab/>
        <w:tab/>
        <w:t xml:space="preserve">-</w:t>
        <w:tab/>
        <w:t xml:space="preserve">D – dojazdowa;</w:t>
      </w:r>
    </w:p>
    <w:p>
      <w:pPr>
        <w:spacing w:before="24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  <w:t xml:space="preserve">Szeroko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ść jezdni</w:t>
        <w:tab/>
        <w:tab/>
        <w:t xml:space="preserve">-</w:t>
        <w:tab/>
        <w:t xml:space="preserve">3,00 m </w:t>
      </w:r>
    </w:p>
    <w:p>
      <w:pPr>
        <w:spacing w:before="240" w:after="0" w:line="240"/>
        <w:ind w:right="0" w:left="1068" w:firstLine="34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Szeroko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ść poboczy         -         2*0, 50 m</w:t>
      </w:r>
    </w:p>
    <w:p>
      <w:pPr>
        <w:spacing w:before="24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ab/>
        <w:t xml:space="preserve">Pr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ędkość projektowa</w:t>
        <w:tab/>
        <w:t xml:space="preserve">-</w:t>
        <w:tab/>
        <w:t xml:space="preserve">30 km/h</w:t>
      </w:r>
    </w:p>
    <w:p>
      <w:pPr>
        <w:spacing w:before="240" w:after="0" w:line="240"/>
        <w:ind w:right="0" w:left="4956" w:hanging="354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Pochylenie poprzeczne jezdni</w:t>
        <w:tab/>
        <w:t xml:space="preserve">-2 % (przekrój daszkowy)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4.2. Zakres i technologia przebudowy:</w:t>
      </w: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Technologia przebudowy wg przekroi konstrukcyjnych </w:t>
        <w:br/>
        <w:t xml:space="preserve">i Specyfikacji technicznych.</w:t>
      </w: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ązanie konstrukcyjne jezdnia: </w:t>
      </w:r>
    </w:p>
    <w:p>
      <w:pPr>
        <w:numPr>
          <w:ilvl w:val="0"/>
          <w:numId w:val="100"/>
        </w:numPr>
        <w:tabs>
          <w:tab w:val="right" w:pos="284" w:leader="none"/>
          <w:tab w:val="left" w:pos="408" w:leader="none"/>
        </w:tabs>
        <w:spacing w:before="240" w:after="0" w:line="240"/>
        <w:ind w:right="0" w:left="14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wykonanie warstwy profiluj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ącej z mieszanki mineralno – bitumicznej  grubości 3 cm</w:t>
      </w:r>
    </w:p>
    <w:p>
      <w:pPr>
        <w:numPr>
          <w:ilvl w:val="0"/>
          <w:numId w:val="100"/>
        </w:numPr>
        <w:tabs>
          <w:tab w:val="right" w:pos="284" w:leader="none"/>
          <w:tab w:val="left" w:pos="408" w:leader="none"/>
        </w:tabs>
        <w:spacing w:before="240" w:after="0" w:line="240"/>
        <w:ind w:right="0" w:left="14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wykonanie warstwy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ścieralnej z mieszanki mineralno – bitumicznej  grubości 4 cm</w:t>
      </w:r>
    </w:p>
    <w:p>
      <w:pPr>
        <w:numPr>
          <w:ilvl w:val="0"/>
          <w:numId w:val="100"/>
        </w:numPr>
        <w:tabs>
          <w:tab w:val="right" w:pos="284" w:leader="none"/>
          <w:tab w:val="left" w:pos="408" w:leader="none"/>
        </w:tabs>
        <w:spacing w:before="240" w:after="0" w:line="240"/>
        <w:ind w:right="0" w:left="14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wzmocnienie podbudowy kruszywem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łamanym 0/63 mm gr. 20 cm</w:t>
      </w:r>
    </w:p>
    <w:p>
      <w:pPr>
        <w:numPr>
          <w:ilvl w:val="0"/>
          <w:numId w:val="100"/>
        </w:numPr>
        <w:tabs>
          <w:tab w:val="right" w:pos="284" w:leader="none"/>
          <w:tab w:val="left" w:pos="408" w:leader="none"/>
        </w:tabs>
        <w:spacing w:before="240" w:after="0" w:line="240"/>
        <w:ind w:right="0" w:left="1428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utwardzenie poboczy kruszywem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łamanym 0/31,5 grubości 10 cm</w:t>
      </w: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Przebieg drogi w planie i profilu – pokazano na rysunkach..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Rozwi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ązanie wysokościowe – spadki podłużne i poprzeczne zaprojektowano zgodnie z normatywami. Niweletę jezdni wpisano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w istniej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ącą konfigurację terenu i dopasowano do istniejącego zagospodarowania terenu. </w:t>
      </w:r>
    </w:p>
    <w:p>
      <w:pPr>
        <w:spacing w:before="0" w:after="0" w:line="240"/>
        <w:ind w:right="0" w:left="79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</w:r>
    </w:p>
    <w:p>
      <w:pPr>
        <w:tabs>
          <w:tab w:val="left" w:pos="2148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05"/>
        </w:numPr>
        <w:tabs>
          <w:tab w:val="left" w:pos="720" w:leader="none"/>
        </w:tabs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  <w:t xml:space="preserve">Wp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2"/>
          <w:shd w:fill="auto" w:val="clear"/>
        </w:rPr>
        <w:t xml:space="preserve">ływ inwestycji na środowisko.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Wykonanie przebudowy  nawierzchni drogi poprawi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łynność ruchu samochodowego, a co za tym idzie zmniejszy się emisja spalin oraz obniży lokalnie stężenie substancji zanieczyszczających: CO, CO2, CH, NO, Pb, SO2, poprzez zwiększenie drożności systemu komunikacyjnego. Poprawi się również bezpieczeństwo ruchu samochodowego. Poprawie ulegnie także dostępność i funkcjonalność projektowanego urządzenia komunikacyjnego oraz ograniczenie uciążliwości wynikającej z hałasu powodowanych przez mało płynny ruch samochodowy (wprawdzie ruch drogowy będzie emitował hałas i wibracje, to będą one jednak mniejsze niż w przypadku pozostawienia drogi w obecnym stanie technicznym). Poprawa spadków podłużnych i poprzecznych drogi; wykonanie całości inwestycji poprawi estetykę terenu i zwiększy jego atrakcyjność gospodarczą.</w:t>
      </w:r>
    </w:p>
    <w:p>
      <w:pPr>
        <w:tabs>
          <w:tab w:val="right" w:pos="284" w:leader="none"/>
          <w:tab w:val="left" w:pos="408" w:leader="none"/>
        </w:tabs>
        <w:spacing w:before="0" w:after="0" w:line="240"/>
        <w:ind w:right="0" w:left="708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Przebudowa przedmiotowej drogi jest niedu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żą inwestycją o charakterze lokalnym, która nie wpłynie w znacznym stopniu na istniejące środowisko i nie naruszy istniejących stosunków wodnych, a także nie wpłynie na zmianę krajobrazu tej okolicy; wody opadowe odprowadzane będą powierzchniowo. Ze względu na przeznaczenie drogi (ruch lokalny) oraz umiarkowane natężenie ruchu samochodowego, większość zanieczyszczeń będzie miała charakter organiczny, a ich ilość nie będzie istotnie wpływać na czystość wody. Planowane do realizacji prace budowlane nie spowodują realnego zagrożenia dla środowiska naturalnego i zdrowia ludzi, przebudowa drogi nie spowoduje zmian w przyrodzie nieożywionej – wszelkie stosunki geobotaniczne zostaną zachowane; również stosunki glebowe i wodne nie zostaną zmienione; realizacja projektu nie będzie mieć żadnego wpływu na klimat, dobra materialne oraz dobra kultury. W związku z realizacją inwestycji nie zachodzi naruszenie interesów osób trzecich, zarówno w związku z przepisami ochrony środowiska jak i przepisami budowlanymi. Powstałe w wyniku prac budowlanych oraz eksploatacji dróg odpady będą typowymi odpadami powstającymi w budownictwie drogowym i nie stanowią zagrożenia dla środowiska, przy zachowaniu ich właściwego składowania i powtórnego wykorzystania.</w:t>
      </w:r>
    </w:p>
    <w:p>
      <w:pPr>
        <w:spacing w:before="0" w:after="0" w:line="240"/>
        <w:ind w:right="0" w:left="708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Realizacja przedmiotowego przedsi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ęwzięcia nie spowoduje wzrostu emisji o więcej niż 20 % lub wzrostu zużycia surowców (w tym wody), materiałów, paliw, energii, o więcej niż 20 % i nie zalicza się do przedsięwzięć mogących znacząco oddziaływać na środowisko (Ustawa z dnia 18 maja 2005 r. o zmianie ustawy - Prawo ochrony środowiska oraz niektórych innych ustaw (Dz. U. z dnia 27 czerwca 2005 r.).</w:t>
      </w: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Projektowa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ł: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5">
    <w:lvl w:ilvl="0">
      <w:start w:val="1"/>
      <w:numFmt w:val="upperRoman"/>
      <w:lvlText w:val="%1."/>
    </w:lvl>
  </w:abstractNum>
  <w:abstractNum w:abstractNumId="1">
    <w:lvl w:ilvl="0">
      <w:start w:val="1"/>
      <w:numFmt w:val="decimal"/>
      <w:lvlText w:val="%1."/>
    </w:lvl>
  </w:abstractNum>
  <w:abstractNum w:abstractNumId="7">
    <w:lvl w:ilvl="0">
      <w:start w:val="1"/>
      <w:numFmt w:val="decimal"/>
      <w:lvlText w:val="%1."/>
    </w:lvl>
  </w:abstractNum>
  <w:abstractNum w:abstractNumId="13">
    <w:lvl w:ilvl="0">
      <w:start w:val="1"/>
      <w:numFmt w:val="decimal"/>
      <w:lvlText w:val="%1."/>
    </w:lvl>
  </w:abstractNum>
  <w:abstractNum w:abstractNumId="19">
    <w:lvl w:ilvl="0">
      <w:start w:val="1"/>
      <w:numFmt w:val="decimal"/>
      <w:lvlText w:val="%1."/>
    </w:lvl>
  </w:abstractNum>
  <w:abstractNum w:abstractNumId="11">
    <w:lvl w:ilvl="0">
      <w:start w:val="1"/>
      <w:numFmt w:val="upperRoman"/>
      <w:lvlText w:val="%1."/>
    </w:lvl>
  </w:abstractNum>
  <w:abstractNum w:abstractNumId="25">
    <w:lvl w:ilvl="0">
      <w:start w:val="1"/>
      <w:numFmt w:val="decimal"/>
      <w:lvlText w:val="%1."/>
    </w:lvl>
  </w:abstractNum>
  <w:abstractNum w:abstractNumId="31">
    <w:lvl w:ilvl="0">
      <w:start w:val="1"/>
      <w:numFmt w:val="decimal"/>
      <w:lvlText w:val="%1."/>
    </w:lvl>
  </w:abstractNum>
  <w:abstractNum w:abstractNumId="37">
    <w:lvl w:ilvl="0">
      <w:start w:val="1"/>
      <w:numFmt w:val="decimal"/>
      <w:lvlText w:val="%1."/>
    </w:lvl>
  </w:abstractNum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num w:numId="26">
    <w:abstractNumId w:val="11"/>
  </w:num>
  <w:num w:numId="29">
    <w:abstractNumId w:val="37"/>
  </w:num>
  <w:num w:numId="31">
    <w:abstractNumId w:val="31"/>
  </w:num>
  <w:num w:numId="33">
    <w:abstractNumId w:val="25"/>
  </w:num>
  <w:num w:numId="35">
    <w:abstractNumId w:val="19"/>
  </w:num>
  <w:num w:numId="37">
    <w:abstractNumId w:val="5"/>
  </w:num>
  <w:num w:numId="39">
    <w:abstractNumId w:val="13"/>
  </w:num>
  <w:num w:numId="41">
    <w:abstractNumId w:val="7"/>
  </w:num>
  <w:num w:numId="44">
    <w:abstractNumId w:val="1"/>
  </w:num>
  <w:num w:numId="50">
    <w:abstractNumId w:val="36"/>
  </w:num>
  <w:num w:numId="52">
    <w:abstractNumId w:val="30"/>
  </w:num>
  <w:num w:numId="54">
    <w:abstractNumId w:val="24"/>
  </w:num>
  <w:num w:numId="85">
    <w:abstractNumId w:val="18"/>
  </w:num>
  <w:num w:numId="89">
    <w:abstractNumId w:val="12"/>
  </w:num>
  <w:num w:numId="100">
    <w:abstractNumId w:val="6"/>
  </w:num>
  <w:num w:numId="10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