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end"/>
        <w:rPr>
          <w:sz w:val="20"/>
          <w:szCs w:val="20"/>
        </w:rPr>
      </w:pPr>
      <w:bookmarkStart w:id="0" w:name="_GoBack"/>
      <w:bookmarkEnd w:id="0"/>
      <w:r>
        <w:rPr>
          <w:b/>
          <w:sz w:val="20"/>
          <w:szCs w:val="20"/>
        </w:rPr>
        <w:t>Załącznik nr 6</w:t>
      </w:r>
      <w:r>
        <w:rPr>
          <w:sz w:val="20"/>
          <w:szCs w:val="20"/>
        </w:rPr>
        <w:t xml:space="preserve"> do Procedur prowadzenia konsultacji</w:t>
      </w:r>
    </w:p>
    <w:p>
      <w:pPr>
        <w:pStyle w:val="NoSpacing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</w:t>
      </w:r>
      <w:r>
        <w:rPr>
          <w:sz w:val="20"/>
          <w:szCs w:val="20"/>
        </w:rPr>
        <w:t>społecznych na terenie Gminy Tarłów</w:t>
      </w:r>
    </w:p>
    <w:p>
      <w:pPr>
        <w:pStyle w:val="Normal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jc w:val="center"/>
        <w:rPr>
          <w:b/>
        </w:rPr>
      </w:pPr>
      <w:r>
        <w:rPr>
          <w:b/>
        </w:rPr>
        <w:t>ANKIETA EWALUACYJNA PROCESU KONSULTACYJNEGO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rFonts w:eastAsia="Times New Roman" w:cs="Times New Roman"/>
          <w:bCs/>
          <w:color w:val="000000"/>
        </w:rPr>
      </w:pPr>
      <w:r>
        <w:rPr/>
        <w:t xml:space="preserve">Ankieta ma na celu zbadanie efektywności procesu konsultacyjnego dotyczącego </w:t>
      </w:r>
      <w:r>
        <w:rPr>
          <w:rFonts w:eastAsia="Times New Roman" w:cs="Times New Roman"/>
          <w:bCs/>
          <w:color w:val="000000"/>
        </w:rPr>
        <w:t>„Projektu  Programu Współpracy Gminy Tarłów z organizacjami pozarządowymi oraz innymi podmiotami prowadzącymi działalność pożytku publicznego na rok 202</w:t>
      </w:r>
      <w:r>
        <w:rPr>
          <w:rFonts w:eastAsia="Times New Roman" w:cs="Times New Roman"/>
          <w:bCs/>
          <w:color w:val="000000"/>
        </w:rPr>
        <w:t>6</w:t>
      </w:r>
      <w:r>
        <w:rPr>
          <w:rFonts w:eastAsia="Times New Roman" w:cs="Times New Roman"/>
          <w:bCs/>
          <w:color w:val="000000"/>
        </w:rPr>
        <w:t>”.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rFonts w:eastAsia="Times New Roman" w:cs="Times New Roman"/>
          <w:color w:val="FF0000"/>
        </w:rPr>
      </w:pPr>
      <w:r>
        <w:rPr>
          <w:rFonts w:eastAsia="Times New Roman" w:cs="Times New Roman"/>
          <w:bCs/>
          <w:color w:val="000000"/>
        </w:rPr>
        <w:t>Konsultacje społeczne były przeprowadzone w okresie od 0</w:t>
      </w:r>
      <w:r>
        <w:rPr>
          <w:rFonts w:eastAsia="Times New Roman" w:cs="Times New Roman"/>
          <w:bCs/>
          <w:color w:val="000000"/>
        </w:rPr>
        <w:t>1</w:t>
      </w:r>
      <w:r>
        <w:rPr>
          <w:rFonts w:eastAsia="Times New Roman" w:cs="Times New Roman"/>
          <w:bCs/>
          <w:color w:val="000000"/>
        </w:rPr>
        <w:t>.10.202</w:t>
      </w:r>
      <w:r>
        <w:rPr>
          <w:rFonts w:eastAsia="Times New Roman" w:cs="Times New Roman"/>
          <w:bCs/>
          <w:color w:val="000000"/>
        </w:rPr>
        <w:t>5</w:t>
      </w:r>
      <w:r>
        <w:rPr>
          <w:rFonts w:eastAsia="Times New Roman" w:cs="Times New Roman"/>
          <w:bCs/>
          <w:color w:val="000000"/>
        </w:rPr>
        <w:t xml:space="preserve"> r. do 1</w:t>
      </w:r>
      <w:r>
        <w:rPr>
          <w:rFonts w:eastAsia="Times New Roman" w:cs="Times New Roman"/>
          <w:bCs/>
          <w:color w:val="000000"/>
        </w:rPr>
        <w:t>5</w:t>
      </w:r>
      <w:r>
        <w:rPr>
          <w:rFonts w:eastAsia="Times New Roman" w:cs="Times New Roman"/>
          <w:bCs/>
          <w:color w:val="000000"/>
        </w:rPr>
        <w:t>.10.202</w:t>
      </w:r>
      <w:r>
        <w:rPr>
          <w:rFonts w:eastAsia="Times New Roman" w:cs="Times New Roman"/>
          <w:bCs/>
          <w:color w:val="000000"/>
        </w:rPr>
        <w:t>5</w:t>
      </w:r>
      <w:r>
        <w:rPr>
          <w:rFonts w:eastAsia="Times New Roman" w:cs="Times New Roman"/>
          <w:bCs/>
          <w:color w:val="000000"/>
        </w:rPr>
        <w:t xml:space="preserve"> r. na podstawie Zarządzenia Wójta Gminy Tarłów nr </w:t>
      </w:r>
      <w:r>
        <w:rPr>
          <w:rFonts w:eastAsia="Times New Roman" w:cs="Times New Roman"/>
          <w:bCs/>
          <w:color w:val="000000"/>
        </w:rPr>
        <w:t>106</w:t>
      </w:r>
      <w:r>
        <w:rPr>
          <w:rFonts w:eastAsia="Times New Roman" w:cs="Times New Roman"/>
          <w:bCs/>
          <w:color w:val="000000"/>
        </w:rPr>
        <w:t>/202</w:t>
      </w:r>
      <w:r>
        <w:rPr>
          <w:rFonts w:eastAsia="Times New Roman" w:cs="Times New Roman"/>
          <w:bCs/>
          <w:color w:val="000000"/>
        </w:rPr>
        <w:t>5</w:t>
      </w:r>
      <w:r>
        <w:rPr>
          <w:rFonts w:eastAsia="Times New Roman" w:cs="Times New Roman"/>
          <w:bCs/>
          <w:color w:val="000000"/>
        </w:rPr>
        <w:t xml:space="preserve"> z dnia 0</w:t>
      </w:r>
      <w:r>
        <w:rPr>
          <w:rFonts w:eastAsia="Times New Roman" w:cs="Times New Roman"/>
          <w:bCs/>
          <w:color w:val="000000"/>
        </w:rPr>
        <w:t>1</w:t>
      </w:r>
      <w:r>
        <w:rPr>
          <w:rFonts w:eastAsia="Times New Roman" w:cs="Times New Roman"/>
          <w:bCs/>
          <w:color w:val="000000"/>
        </w:rPr>
        <w:t>.10.202</w:t>
      </w:r>
      <w:r>
        <w:rPr>
          <w:rFonts w:eastAsia="Times New Roman" w:cs="Times New Roman"/>
          <w:bCs/>
          <w:color w:val="000000"/>
        </w:rPr>
        <w:t>5</w:t>
      </w:r>
      <w:r>
        <w:rPr>
          <w:rFonts w:eastAsia="Times New Roman" w:cs="Times New Roman"/>
          <w:bCs/>
          <w:color w:val="000000"/>
        </w:rPr>
        <w:t xml:space="preserve"> r.</w:t>
      </w:r>
    </w:p>
    <w:p>
      <w:pPr>
        <w:pStyle w:val="Normal"/>
        <w:shd w:val="clear" w:color="auto" w:fill="FFFFFF"/>
        <w:spacing w:lineRule="auto" w:line="240" w:before="0" w:after="0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</w:r>
    </w:p>
    <w:p>
      <w:pPr>
        <w:pStyle w:val="Normal"/>
        <w:spacing w:lineRule="auto" w:line="240"/>
        <w:rPr/>
      </w:pPr>
      <w:r>
        <w:rPr/>
        <w:t>Wyniki prowadzonych badań posłużą do wyciągnięcia wniosków i rekomendacji do kolejnych procesów ewaluacyjnych.</w:t>
      </w:r>
    </w:p>
    <w:p>
      <w:pPr>
        <w:pStyle w:val="Normal"/>
        <w:rPr/>
      </w:pPr>
      <w:r>
        <w:rPr/>
      </w:r>
    </w:p>
    <w:p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Proszę ocenić w skali od 1-5* wykorzystane formy konsultacji społecznych:</w:t>
      </w:r>
    </w:p>
    <w:tbl>
      <w:tblPr>
        <w:tblStyle w:val="Tabela-Siatka"/>
        <w:tblW w:w="8568" w:type="dxa"/>
        <w:jc w:val="start"/>
        <w:tblInd w:w="72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4377"/>
        <w:gridCol w:w="4190"/>
      </w:tblGrid>
      <w:tr>
        <w:trPr/>
        <w:tc>
          <w:tcPr>
            <w:tcW w:w="4377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start="0"/>
              <w:contextualSpacing/>
              <w:jc w:val="start"/>
              <w:rPr>
                <w:b/>
              </w:rPr>
            </w:pPr>
            <w:r>
              <w:rPr>
                <w:rFonts w:eastAsia="" w:cs=""/>
                <w:b/>
                <w:kern w:val="0"/>
                <w:sz w:val="22"/>
                <w:szCs w:val="22"/>
                <w:lang w:val="pl-PL" w:eastAsia="pl-PL" w:bidi="ar-SA"/>
              </w:rPr>
              <w:t>Formy konsultacji:</w:t>
            </w:r>
          </w:p>
        </w:tc>
        <w:tc>
          <w:tcPr>
            <w:tcW w:w="4190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start="0"/>
              <w:contextualSpacing/>
              <w:jc w:val="start"/>
              <w:rPr>
                <w:b/>
              </w:rPr>
            </w:pPr>
            <w:r>
              <w:rPr>
                <w:rFonts w:eastAsia="" w:cs=""/>
                <w:b/>
                <w:kern w:val="0"/>
                <w:sz w:val="22"/>
                <w:szCs w:val="22"/>
                <w:lang w:val="pl-PL" w:eastAsia="pl-PL" w:bidi="ar-SA"/>
              </w:rPr>
              <w:t>Ocena w skali od 1 do 5*</w:t>
            </w:r>
          </w:p>
        </w:tc>
      </w:tr>
      <w:tr>
        <w:trPr/>
        <w:tc>
          <w:tcPr>
            <w:tcW w:w="4377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start"/>
              <w:rPr>
                <w:rFonts w:ascii="Calibri" w:hAnsi="Calibri" w:eastAsia="" w:cs=""/>
                <w:kern w:val="0"/>
                <w:sz w:val="22"/>
                <w:szCs w:val="22"/>
                <w:lang w:val="pl-PL" w:eastAsia="pl-PL" w:bidi="ar-SA"/>
              </w:rPr>
            </w:pPr>
            <w:r>
              <w:rPr>
                <w:rFonts w:eastAsia="" w:cs=""/>
                <w:kern w:val="0"/>
                <w:sz w:val="22"/>
                <w:szCs w:val="22"/>
                <w:lang w:val="pl-PL" w:eastAsia="pl-PL" w:bidi="ar-SA"/>
              </w:rPr>
              <w:t>Pisemne zbieranie uwag</w:t>
            </w:r>
          </w:p>
        </w:tc>
        <w:tc>
          <w:tcPr>
            <w:tcW w:w="4190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start="0"/>
              <w:contextualSpacing/>
              <w:jc w:val="start"/>
              <w:rPr>
                <w:rFonts w:ascii="Calibri" w:hAnsi="Calibri" w:eastAsia="" w:cs=""/>
                <w:kern w:val="0"/>
                <w:sz w:val="22"/>
                <w:szCs w:val="22"/>
                <w:lang w:val="pl-PL" w:eastAsia="pl-PL" w:bidi="ar-SA"/>
              </w:rPr>
            </w:pPr>
            <w:r>
              <w:rPr>
                <w:rFonts w:eastAsia="" w:cs=""/>
                <w:kern w:val="0"/>
                <w:sz w:val="22"/>
                <w:szCs w:val="22"/>
                <w:lang w:val="pl-PL" w:eastAsia="pl-PL" w:bidi="ar-SA"/>
              </w:rPr>
            </w:r>
          </w:p>
        </w:tc>
      </w:tr>
      <w:tr>
        <w:trPr/>
        <w:tc>
          <w:tcPr>
            <w:tcW w:w="4377" w:type="dxa"/>
            <w:tcBorders/>
          </w:tcPr>
          <w:p>
            <w:pPr>
              <w:pStyle w:val="ListParagraph"/>
              <w:widowControl/>
              <w:numPr>
                <w:ilvl w:val="0"/>
                <w:numId w:val="2"/>
              </w:numPr>
              <w:suppressAutoHyphens w:val="true"/>
              <w:spacing w:lineRule="auto" w:line="240" w:before="0" w:after="0"/>
              <w:contextualSpacing/>
              <w:jc w:val="start"/>
              <w:rPr>
                <w:rFonts w:ascii="Calibri" w:hAnsi="Calibri" w:eastAsia="" w:cs=""/>
                <w:kern w:val="0"/>
                <w:sz w:val="22"/>
                <w:szCs w:val="22"/>
                <w:lang w:val="pl-PL" w:eastAsia="pl-PL" w:bidi="ar-SA"/>
              </w:rPr>
            </w:pPr>
            <w:r>
              <w:rPr>
                <w:rFonts w:eastAsia="" w:cs=""/>
                <w:kern w:val="0"/>
                <w:sz w:val="22"/>
                <w:szCs w:val="22"/>
                <w:lang w:val="pl-PL" w:eastAsia="pl-PL" w:bidi="ar-SA"/>
              </w:rPr>
              <w:t>Elektroniczne zbieranie uwag</w:t>
            </w:r>
          </w:p>
        </w:tc>
        <w:tc>
          <w:tcPr>
            <w:tcW w:w="4190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start="0"/>
              <w:contextualSpacing/>
              <w:jc w:val="start"/>
              <w:rPr>
                <w:rFonts w:ascii="Calibri" w:hAnsi="Calibri" w:eastAsia="" w:cs=""/>
                <w:kern w:val="0"/>
                <w:sz w:val="22"/>
                <w:szCs w:val="22"/>
                <w:lang w:val="pl-PL" w:eastAsia="pl-PL" w:bidi="ar-SA"/>
              </w:rPr>
            </w:pPr>
            <w:r>
              <w:rPr>
                <w:rFonts w:eastAsia="" w:cs=""/>
                <w:kern w:val="0"/>
                <w:sz w:val="22"/>
                <w:szCs w:val="22"/>
                <w:lang w:val="pl-PL" w:eastAsia="pl-PL" w:bidi="ar-SA"/>
              </w:rPr>
            </w:r>
          </w:p>
        </w:tc>
      </w:tr>
    </w:tbl>
    <w:p>
      <w:pPr>
        <w:pStyle w:val="ListParagraph"/>
        <w:rPr>
          <w:sz w:val="20"/>
          <w:szCs w:val="20"/>
        </w:rPr>
      </w:pPr>
      <w:r>
        <w:rPr>
          <w:sz w:val="20"/>
          <w:szCs w:val="20"/>
        </w:rPr>
        <w:t>*gdzie 1 oznacza formę najmniej efektywną a 5 najbardziej efektywną.</w:t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  <w:t>Uwagi dotyczące formy konsultacji:</w:t>
      </w:r>
    </w:p>
    <w:p>
      <w:pPr>
        <w:pStyle w:val="ListParagraph"/>
        <w:rPr/>
      </w:pPr>
      <w:r>
        <w:rP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ListParagraph"/>
        <w:rPr/>
      </w:pPr>
      <w:r>
        <w:rPr/>
      </w:r>
    </w:p>
    <w:p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Proszę ocenić w skali od 1-5* sposoby dotarcia do uczestników konsultacji społecznych:</w:t>
      </w:r>
    </w:p>
    <w:tbl>
      <w:tblPr>
        <w:tblStyle w:val="Tabela-Siatka"/>
        <w:tblW w:w="8568" w:type="dxa"/>
        <w:jc w:val="start"/>
        <w:tblInd w:w="72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4380"/>
        <w:gridCol w:w="4187"/>
      </w:tblGrid>
      <w:tr>
        <w:trPr/>
        <w:tc>
          <w:tcPr>
            <w:tcW w:w="4380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start="0"/>
              <w:contextualSpacing/>
              <w:jc w:val="start"/>
              <w:rPr>
                <w:b/>
              </w:rPr>
            </w:pPr>
            <w:r>
              <w:rPr>
                <w:rFonts w:eastAsia="" w:cs=""/>
                <w:b/>
                <w:kern w:val="0"/>
                <w:sz w:val="22"/>
                <w:szCs w:val="22"/>
                <w:lang w:val="pl-PL" w:eastAsia="pl-PL" w:bidi="ar-SA"/>
              </w:rPr>
              <w:t>Sposób dotarcia do uczestników konsultacji:</w:t>
            </w:r>
          </w:p>
        </w:tc>
        <w:tc>
          <w:tcPr>
            <w:tcW w:w="4187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start="0"/>
              <w:contextualSpacing/>
              <w:jc w:val="start"/>
              <w:rPr>
                <w:b/>
              </w:rPr>
            </w:pPr>
            <w:r>
              <w:rPr>
                <w:rFonts w:eastAsia="" w:cs=""/>
                <w:b/>
                <w:kern w:val="0"/>
                <w:sz w:val="22"/>
                <w:szCs w:val="22"/>
                <w:lang w:val="pl-PL" w:eastAsia="pl-PL" w:bidi="ar-SA"/>
              </w:rPr>
              <w:t>Ocena w skali od 1 do 5*</w:t>
            </w:r>
          </w:p>
        </w:tc>
      </w:tr>
      <w:tr>
        <w:trPr/>
        <w:tc>
          <w:tcPr>
            <w:tcW w:w="4380" w:type="dxa"/>
            <w:tcBorders/>
          </w:tcPr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jc w:val="start"/>
              <w:rPr>
                <w:rFonts w:ascii="Calibri" w:hAnsi="Calibri" w:eastAsia="" w:cs=""/>
                <w:kern w:val="0"/>
                <w:sz w:val="22"/>
                <w:szCs w:val="22"/>
                <w:lang w:val="pl-PL" w:eastAsia="pl-PL" w:bidi="ar-SA"/>
              </w:rPr>
            </w:pPr>
            <w:r>
              <w:rPr>
                <w:rFonts w:eastAsia="" w:cs=""/>
                <w:kern w:val="0"/>
                <w:sz w:val="22"/>
                <w:szCs w:val="22"/>
                <w:lang w:val="pl-PL" w:eastAsia="pl-PL" w:bidi="ar-SA"/>
              </w:rPr>
              <w:t>publikacja na stronie internetowej Urzędu Gminy Tarłów</w:t>
            </w:r>
          </w:p>
        </w:tc>
        <w:tc>
          <w:tcPr>
            <w:tcW w:w="4187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start="0"/>
              <w:contextualSpacing/>
              <w:jc w:val="start"/>
              <w:rPr>
                <w:rFonts w:ascii="Calibri" w:hAnsi="Calibri" w:eastAsia="" w:cs=""/>
                <w:kern w:val="0"/>
                <w:sz w:val="22"/>
                <w:szCs w:val="22"/>
                <w:lang w:val="pl-PL" w:eastAsia="pl-PL" w:bidi="ar-SA"/>
              </w:rPr>
            </w:pPr>
            <w:r>
              <w:rPr>
                <w:rFonts w:eastAsia="" w:cs=""/>
                <w:kern w:val="0"/>
                <w:sz w:val="22"/>
                <w:szCs w:val="22"/>
                <w:lang w:val="pl-PL" w:eastAsia="pl-PL" w:bidi="ar-SA"/>
              </w:rPr>
            </w:r>
          </w:p>
        </w:tc>
      </w:tr>
      <w:tr>
        <w:trPr/>
        <w:tc>
          <w:tcPr>
            <w:tcW w:w="4380" w:type="dxa"/>
            <w:tcBorders/>
          </w:tcPr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jc w:val="start"/>
              <w:rPr>
                <w:rFonts w:ascii="Calibri" w:hAnsi="Calibri" w:eastAsia="" w:cs=""/>
                <w:kern w:val="0"/>
                <w:sz w:val="22"/>
                <w:szCs w:val="22"/>
                <w:lang w:val="pl-PL" w:eastAsia="pl-PL" w:bidi="ar-SA"/>
              </w:rPr>
            </w:pPr>
            <w:r>
              <w:rPr>
                <w:rFonts w:eastAsia="" w:cs=""/>
                <w:kern w:val="0"/>
                <w:sz w:val="22"/>
                <w:szCs w:val="22"/>
                <w:lang w:val="pl-PL" w:eastAsia="pl-PL" w:bidi="ar-SA"/>
              </w:rPr>
              <w:t>publikacja na stronie internetowej Biuletyn Informacji Publicznej Gminy Tarłów</w:t>
            </w:r>
          </w:p>
        </w:tc>
        <w:tc>
          <w:tcPr>
            <w:tcW w:w="4187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start="0"/>
              <w:contextualSpacing/>
              <w:jc w:val="start"/>
              <w:rPr>
                <w:rFonts w:ascii="Calibri" w:hAnsi="Calibri" w:eastAsia="" w:cs=""/>
                <w:kern w:val="0"/>
                <w:sz w:val="22"/>
                <w:szCs w:val="22"/>
                <w:lang w:val="pl-PL" w:eastAsia="pl-PL" w:bidi="ar-SA"/>
              </w:rPr>
            </w:pPr>
            <w:r>
              <w:rPr>
                <w:rFonts w:eastAsia="" w:cs=""/>
                <w:kern w:val="0"/>
                <w:sz w:val="22"/>
                <w:szCs w:val="22"/>
                <w:lang w:val="pl-PL" w:eastAsia="pl-PL" w:bidi="ar-SA"/>
              </w:rPr>
            </w:r>
          </w:p>
        </w:tc>
      </w:tr>
      <w:tr>
        <w:trPr/>
        <w:tc>
          <w:tcPr>
            <w:tcW w:w="4380" w:type="dxa"/>
            <w:tcBorders/>
          </w:tcPr>
          <w:p>
            <w:pPr>
              <w:pStyle w:val="ListParagraph"/>
              <w:widowControl/>
              <w:numPr>
                <w:ilvl w:val="0"/>
                <w:numId w:val="3"/>
              </w:numPr>
              <w:suppressAutoHyphens w:val="true"/>
              <w:spacing w:lineRule="auto" w:line="240" w:before="0" w:after="0"/>
              <w:contextualSpacing/>
              <w:jc w:val="start"/>
              <w:rPr>
                <w:rFonts w:ascii="Calibri" w:hAnsi="Calibri" w:eastAsia="" w:cs=""/>
                <w:kern w:val="0"/>
                <w:sz w:val="22"/>
                <w:szCs w:val="22"/>
                <w:lang w:val="pl-PL" w:eastAsia="pl-PL" w:bidi="ar-SA"/>
              </w:rPr>
            </w:pPr>
            <w:r>
              <w:rPr>
                <w:rFonts w:eastAsia="" w:cs=""/>
                <w:kern w:val="0"/>
                <w:sz w:val="22"/>
                <w:szCs w:val="22"/>
                <w:lang w:val="pl-PL" w:eastAsia="pl-PL" w:bidi="ar-SA"/>
              </w:rPr>
              <w:t>zamieszczenie ogłoszenia na tablicy ogłoszeń w siedzibie Urzędu</w:t>
            </w:r>
            <w:r>
              <w:rPr>
                <w:rFonts w:eastAsia="" w:cs=""/>
                <w:kern w:val="0"/>
                <w:sz w:val="22"/>
                <w:szCs w:val="22"/>
                <w:lang w:val="pl-PL" w:eastAsia="pl-PL" w:bidi="ar-SA"/>
              </w:rPr>
              <w:t xml:space="preserve"> </w:t>
            </w:r>
            <w:r>
              <w:rPr>
                <w:rFonts w:eastAsia="" w:cs=""/>
                <w:kern w:val="0"/>
                <w:sz w:val="22"/>
                <w:szCs w:val="22"/>
                <w:lang w:val="pl-PL" w:eastAsia="pl-PL" w:bidi="ar-SA"/>
              </w:rPr>
              <w:t>Gminy Tarłów</w:t>
            </w:r>
          </w:p>
        </w:tc>
        <w:tc>
          <w:tcPr>
            <w:tcW w:w="4187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start="0"/>
              <w:contextualSpacing/>
              <w:jc w:val="start"/>
              <w:rPr>
                <w:rFonts w:ascii="Calibri" w:hAnsi="Calibri" w:eastAsia="" w:cs=""/>
                <w:kern w:val="0"/>
                <w:sz w:val="22"/>
                <w:szCs w:val="22"/>
                <w:lang w:val="pl-PL" w:eastAsia="pl-PL" w:bidi="ar-SA"/>
              </w:rPr>
            </w:pPr>
            <w:r>
              <w:rPr>
                <w:rFonts w:eastAsia="" w:cs=""/>
                <w:kern w:val="0"/>
                <w:sz w:val="22"/>
                <w:szCs w:val="22"/>
                <w:lang w:val="pl-PL" w:eastAsia="pl-PL" w:bidi="ar-SA"/>
              </w:rPr>
            </w:r>
          </w:p>
        </w:tc>
      </w:tr>
    </w:tbl>
    <w:p>
      <w:pPr>
        <w:pStyle w:val="Normal"/>
        <w:rPr>
          <w:sz w:val="20"/>
          <w:szCs w:val="20"/>
        </w:rPr>
      </w:pPr>
      <w:r>
        <w:rPr/>
        <w:t xml:space="preserve">            </w:t>
      </w:r>
      <w:r>
        <w:rPr>
          <w:sz w:val="20"/>
          <w:szCs w:val="20"/>
        </w:rPr>
        <w:t>*gdzie 1 oznacza formę najmniej efektywną a 5 najbardziej efektywną.</w:t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  <w:t>Uwagi dotyczące sposobu dotarcia do uczestników konsultacji:</w:t>
      </w:r>
    </w:p>
    <w:p>
      <w:pPr>
        <w:pStyle w:val="ListParagraph"/>
        <w:rPr/>
      </w:pPr>
      <w:r>
        <w:rP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Proszę ocenić w skali 1-5* czas trwania konsultacji społecznych:</w:t>
      </w:r>
    </w:p>
    <w:tbl>
      <w:tblPr>
        <w:tblStyle w:val="Tabela-Siatka"/>
        <w:tblW w:w="8568" w:type="dxa"/>
        <w:jc w:val="start"/>
        <w:tblInd w:w="72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4303"/>
        <w:gridCol w:w="4264"/>
      </w:tblGrid>
      <w:tr>
        <w:trPr/>
        <w:tc>
          <w:tcPr>
            <w:tcW w:w="4303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start="0"/>
              <w:contextualSpacing/>
              <w:jc w:val="start"/>
              <w:rPr>
                <w:b/>
              </w:rPr>
            </w:pPr>
            <w:r>
              <w:rPr>
                <w:rFonts w:eastAsia="" w:cs=""/>
                <w:b/>
                <w:kern w:val="0"/>
                <w:sz w:val="22"/>
                <w:szCs w:val="22"/>
                <w:lang w:val="pl-PL" w:eastAsia="pl-PL" w:bidi="ar-SA"/>
              </w:rPr>
              <w:t>Czas trwania konsultacji:</w:t>
            </w:r>
          </w:p>
        </w:tc>
        <w:tc>
          <w:tcPr>
            <w:tcW w:w="4264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start="0"/>
              <w:contextualSpacing/>
              <w:jc w:val="start"/>
              <w:rPr>
                <w:b/>
              </w:rPr>
            </w:pPr>
            <w:r>
              <w:rPr>
                <w:rFonts w:eastAsia="" w:cs=""/>
                <w:b/>
                <w:kern w:val="0"/>
                <w:sz w:val="22"/>
                <w:szCs w:val="22"/>
                <w:lang w:val="pl-PL" w:eastAsia="pl-PL" w:bidi="ar-SA"/>
              </w:rPr>
              <w:t>Ocena w skali od 1 do 5*</w:t>
            </w:r>
          </w:p>
        </w:tc>
      </w:tr>
      <w:tr>
        <w:trPr/>
        <w:tc>
          <w:tcPr>
            <w:tcW w:w="4303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start="0"/>
              <w:contextualSpacing/>
              <w:jc w:val="start"/>
              <w:rPr>
                <w:sz w:val="20"/>
                <w:szCs w:val="20"/>
              </w:rPr>
            </w:pPr>
            <w:r>
              <w:rPr>
                <w:rFonts w:eastAsia="" w:cs=""/>
                <w:kern w:val="0"/>
                <w:sz w:val="20"/>
                <w:szCs w:val="20"/>
                <w:lang w:val="pl-PL" w:eastAsia="pl-PL" w:bidi="ar-SA"/>
              </w:rPr>
              <w:t>12 dni</w:t>
            </w:r>
          </w:p>
        </w:tc>
        <w:tc>
          <w:tcPr>
            <w:tcW w:w="4264" w:type="dxa"/>
            <w:tcBorders/>
          </w:tcPr>
          <w:p>
            <w:pPr>
              <w:pStyle w:val="ListParagraph"/>
              <w:widowControl/>
              <w:suppressAutoHyphens w:val="true"/>
              <w:spacing w:lineRule="auto" w:line="240" w:before="0" w:after="0"/>
              <w:ind w:start="0"/>
              <w:contextualSpacing/>
              <w:jc w:val="star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</w:tbl>
    <w:p>
      <w:pPr>
        <w:pStyle w:val="ListParagraph"/>
        <w:rPr/>
      </w:pPr>
      <w:r>
        <w:rPr>
          <w:sz w:val="20"/>
          <w:szCs w:val="20"/>
        </w:rPr>
        <w:t>*gdzie 1 oznacza formę najmniej efektywną a 5 najbardziej efektywną</w:t>
      </w:r>
      <w:r>
        <w:rPr/>
        <w:t>.</w:t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  <w:t>Uwagi dotyczące czasu trwania konsultacji:</w:t>
      </w:r>
    </w:p>
    <w:p>
      <w:pPr>
        <w:pStyle w:val="ListParagraph"/>
        <w:rPr/>
      </w:pPr>
      <w:r>
        <w:rP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ListParagraph"/>
        <w:rPr/>
      </w:pPr>
      <w:r>
        <w:rPr/>
      </w:r>
    </w:p>
    <w:p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Czy uważa Pan/Pani, że prowadzony proces konsultacyjny był skierowany do właściwej grupy uczestników konsultacji?</w:t>
      </w:r>
    </w:p>
    <w:p>
      <w:pPr>
        <w:pStyle w:val="ListParagraph"/>
        <w:rPr>
          <w:b/>
        </w:rPr>
      </w:pPr>
      <w:r>
        <w:rPr>
          <w:b/>
        </w:rPr>
      </w:r>
    </w:p>
    <w:p>
      <w:pPr>
        <w:pStyle w:val="ListParagraph"/>
        <w:numPr>
          <w:ilvl w:val="0"/>
          <w:numId w:val="4"/>
        </w:numPr>
        <w:rPr/>
      </w:pPr>
      <w:r>
        <w:rPr/>
        <w:t>TAK</w:t>
      </w:r>
    </w:p>
    <w:p>
      <w:pPr>
        <w:pStyle w:val="ListParagraph"/>
        <w:numPr>
          <w:ilvl w:val="0"/>
          <w:numId w:val="4"/>
        </w:numPr>
        <w:rPr/>
      </w:pPr>
      <w:r>
        <w:rPr/>
        <w:t>NIE, proces powinien być skierowany również do……………………………</w:t>
      </w:r>
    </w:p>
    <w:p>
      <w:pPr>
        <w:pStyle w:val="ListParagraph"/>
        <w:ind w:start="1440"/>
        <w:rPr/>
      </w:pPr>
      <w:r>
        <w:rPr/>
      </w:r>
    </w:p>
    <w:p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Jak Pan/Pani ocenia konsultacje prowadzone przez Gminę Tarłów?</w:t>
      </w:r>
    </w:p>
    <w:p>
      <w:pPr>
        <w:pStyle w:val="ListParagraph"/>
        <w:rPr/>
      </w:pPr>
      <w:r>
        <w:rP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ListParagraph"/>
        <w:rPr/>
      </w:pPr>
      <w:r>
        <w:rPr/>
      </w:r>
    </w:p>
    <w:p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Czy do tej pory uczestniczył/a Pan/Pani w konsultacjach prowadzonych przez Gminę Tarłów?</w:t>
      </w:r>
    </w:p>
    <w:p>
      <w:pPr>
        <w:pStyle w:val="ListParagraph"/>
        <w:rPr>
          <w:b/>
        </w:rPr>
      </w:pPr>
      <w:r>
        <w:rPr>
          <w:b/>
        </w:rPr>
      </w:r>
    </w:p>
    <w:p>
      <w:pPr>
        <w:pStyle w:val="ListParagraph"/>
        <w:numPr>
          <w:ilvl w:val="0"/>
          <w:numId w:val="5"/>
        </w:numPr>
        <w:rPr/>
      </w:pPr>
      <w:r>
        <w:rPr/>
        <w:t>TAK- proszę przejść do pytania nr 7</w:t>
      </w:r>
    </w:p>
    <w:p>
      <w:pPr>
        <w:pStyle w:val="ListParagraph"/>
        <w:numPr>
          <w:ilvl w:val="0"/>
          <w:numId w:val="5"/>
        </w:numPr>
        <w:rPr/>
      </w:pPr>
      <w:r>
        <w:rPr/>
        <w:t>NIE- proszę przejść do pytania nr 8</w:t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Proszę wskazać, w jakich konsultacjach Pan/Pani uczestniczył/a?</w:t>
      </w:r>
    </w:p>
    <w:p>
      <w:pPr>
        <w:pStyle w:val="ListParagraph"/>
        <w:rPr/>
      </w:pPr>
      <w:r>
        <w:rP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ListParagraph"/>
        <w:rPr>
          <w:b/>
        </w:rPr>
      </w:pPr>
      <w:r>
        <w:rPr>
          <w:b/>
        </w:rPr>
      </w:r>
    </w:p>
    <w:p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Z jakiego powodu nie uczestniczył/a Pan/Pani w konsultacjach?</w:t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Imię i nazwisko respondenta………………………………………………………………………………………………………………..</w:t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76" w:before="0" w:after="200"/>
        <w:jc w:val="start"/>
        <w:rPr/>
      </w:pPr>
      <w:r>
        <w:rPr/>
        <w:t>Nazwa organizacji, instytucji (jeśli dotyczy)…………………………………………………………………………………………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Calibri"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2">
    <w:lvl w:ilvl="0">
      <w:start w:val="1"/>
      <w:numFmt w:val="decimal"/>
      <w:lvlText w:val="%1)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3">
    <w:lvl w:ilvl="0">
      <w:start w:val="1"/>
      <w:numFmt w:val="decimal"/>
      <w:lvlText w:val="%1)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4">
    <w:lvl w:ilvl="0">
      <w:start w:val="1"/>
      <w:numFmt w:val="lowerLetter"/>
      <w:lvlText w:val="%1)"/>
      <w:lvlJc w:val="start"/>
      <w:pPr>
        <w:tabs>
          <w:tab w:val="num" w:pos="0"/>
        </w:tabs>
        <w:ind w:start="144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216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88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360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432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504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76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648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7200" w:hanging="180"/>
      </w:pPr>
      <w:rPr/>
    </w:lvl>
  </w:abstractNum>
  <w:abstractNum w:abstractNumId="5">
    <w:lvl w:ilvl="0">
      <w:start w:val="1"/>
      <w:numFmt w:val="lowerLetter"/>
      <w:lvlText w:val="%1)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6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30"/>
  <w:defaultTabStop w:val="708"/>
  <w:autoHyphenation w:val="true"/>
  <w:hyphenationZone w:val="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star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200a8a"/>
    <w:pPr>
      <w:spacing w:before="0" w:after="200"/>
      <w:ind w:start="720"/>
      <w:contextualSpacing/>
    </w:pPr>
    <w:rPr/>
  </w:style>
  <w:style w:type="paragraph" w:styleId="NoSpacing">
    <w:name w:val="No Spacing"/>
    <w:uiPriority w:val="1"/>
    <w:qFormat/>
    <w:rsid w:val="0001746a"/>
    <w:pPr>
      <w:widowControl/>
      <w:suppressAutoHyphens w:val="true"/>
      <w:bidi w:val="0"/>
      <w:spacing w:lineRule="auto" w:line="240" w:before="0" w:after="0"/>
      <w:jc w:val="star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pl-PL" w:eastAsia="pl-PL" w:bidi="ar-SA"/>
    </w:rPr>
  </w:style>
  <w:style w:type="numbering" w:styleId="Bezlistyuser" w:default="1">
    <w:name w:val="Bez listy (user)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200a8a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LibreOffice/25.2.5.2$Windows_X86_64 LibreOffice_project/03d19516eb2e1dd5d4ccd751a0d6f35f35e08022</Application>
  <AppVersion>15.0000</AppVersion>
  <Pages>3</Pages>
  <Words>325</Words>
  <Characters>3349</Characters>
  <CharactersWithSpaces>3707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2024-10-02T08:44:00Z</dcterms:created>
  <dc:creator>Pracownik</dc:creator>
  <dc:description/>
  <dc:language>pl-PL</dc:language>
  <cp:lastModifiedBy/>
  <cp:lastPrinted>2024-10-16T09:05:04Z</cp:lastPrinted>
  <dcterms:modified xsi:type="dcterms:W3CDTF">2025-10-16T08:06:21Z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